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E8600A" w:sz="6" w:space="4"/>
        </w:pBdr>
        <w:spacing w:before="0" w:after="80"/>
      </w:pPr>
      <w:r>
        <w:rPr>
          <w:rFonts w:ascii="Calibri" w:cs="Calibri" w:eastAsia="Calibri" w:hAnsi="Calibri"/>
          <w:b/>
          <w:bCs/>
          <w:color w:val="E8600A"/>
          <w:sz w:val="32"/>
          <w:szCs w:val="32"/>
        </w:rPr>
        <w:t xml:space="preserve">PLUMBLINE  </w:t>
      </w:r>
      <w:r>
        <w:rPr>
          <w:rFonts w:ascii="Calibri" w:cs="Calibri" w:eastAsia="Calibri" w:hAnsi="Calibri"/>
          <w:b/>
          <w:bCs/>
          <w:color w:val="1A2332"/>
          <w:sz w:val="28"/>
          <w:szCs w:val="28"/>
        </w:rPr>
        <w:t xml:space="preserve">·  Daily Pre-Use Fall Protection Inspection Log</w:t>
      </w:r>
    </w:p>
    <w:p>
      <w:pPr>
        <w:spacing w:before="40" w:after="100"/>
      </w:pPr>
      <w:r>
        <w:rPr>
          <w:rFonts w:ascii="Calibri" w:cs="Calibri" w:eastAsia="Calibri" w:hAnsi="Calibri"/>
          <w:i/>
          <w:iCs/>
          <w:color w:val="6B7280"/>
          <w:sz w:val="16"/>
          <w:szCs w:val="16"/>
        </w:rPr>
        <w:t xml:space="preserve">Fill in one row before putting on any fall protection equipment. Every shift. Every worker. Required by O. Reg. 213/91 and CSA Z259.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800"/>
        <w:gridCol w:w="2400"/>
        <w:gridCol w:w="4800"/>
      </w:tblGrid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Job number or site reference</w:t>
            </w:r>
          </w:p>
        </w:tc>
        <w:tc>
          <w:tcPr>
            <w:tcW w:type="dxa" w:w="4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Fall Arrest Plan reference number</w:t>
            </w:r>
          </w:p>
        </w:tc>
        <w:tc>
          <w:tcPr>
            <w:tcW w:type="dxa" w:w="4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Competent person on site today</w:t>
            </w:r>
          </w:p>
        </w:tc>
        <w:tc>
          <w:tcPr>
            <w:tcW w:type="dxa" w:w="4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2332"/>
                <w:sz w:val="16"/>
                <w:szCs w:val="16"/>
              </w:rPr>
              <w:t xml:space="preserve">Month and year</w:t>
            </w:r>
          </w:p>
        </w:tc>
        <w:tc>
          <w:tcPr>
            <w:tcW w:type="dxa" w:w="4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left w:val="single" w:color="E8600A" w:sz="10" w:space="8"/>
        </w:pBdr>
        <w:spacing w:before="0" w:after="80"/>
        <w:ind w:left="0"/>
      </w:pPr>
      <w:r>
        <w:rPr>
          <w:rFonts w:ascii="Calibri" w:cs="Calibri" w:eastAsia="Calibri" w:hAnsi="Calibri"/>
          <w:i/>
          <w:iCs/>
          <w:color w:val="6B7280"/>
          <w:sz w:val="15"/>
          <w:szCs w:val="15"/>
        </w:rPr>
        <w:t xml:space="preserve">Serial numbers, anchor details, fall distance numbers, and the rescue plan are in the Site Fall Arrest Plan listed above. Use the inspection checklist on page 2 to check each item. Record pass or fail in the columns below.</w:t>
      </w:r>
    </w:p>
    <w:p>
      <w:pPr>
        <w:spacing w:before="0" w:after="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200"/>
        <w:gridCol w:w="1900"/>
        <w:gridCol w:w="1700"/>
        <w:gridCol w:w="1100"/>
        <w:gridCol w:w="1100"/>
        <w:gridCol w:w="1100"/>
        <w:gridCol w:w="1100"/>
        <w:gridCol w:w="1100"/>
        <w:gridCol w:w="1900"/>
      </w:tblGrid>
      <w:tr>
        <w:trPr>
          <w:tblHeader/>
        </w:trP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Date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Site / Location</w:t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Worker Name</w:t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Equipment ID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Harness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Lanyard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Anchor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Hardware</w:t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Overall</w:t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Signature</w:t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7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1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  <w:tc>
          <w:tcPr>
            <w:tcW w:type="dxa" w:w="19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</w:tbl>
    <w:p>
      <w:pPr>
        <w:spacing w:before="60" w:after="0"/>
      </w:pPr>
      <w:r>
        <w:rPr>
          <w:rFonts w:ascii="Calibri" w:cs="Calibri" w:eastAsia="Calibri" w:hAnsi="Calibri"/>
          <w:i/>
          <w:iCs/>
          <w:color w:val="6B7280"/>
          <w:sz w:val="14"/>
          <w:szCs w:val="14"/>
        </w:rPr>
        <w:t xml:space="preserve">✓ = Pass    ✗ = Fail — remove equipment from service, tag it, tell your supervisor before starting work    — = Not applicable</w:t>
      </w:r>
    </w:p>
    <w:p>
      <w:pPr>
        <w:spacing w:before="0" w:after="0"/>
      </w:pPr>
      <w:r>
        <w:br w:type="page"/>
      </w:r>
    </w:p>
    <w:p>
      <w:pPr>
        <w:pBdr>
          <w:bottom w:val="single" w:color="E8600A" w:sz="4" w:space="4"/>
        </w:pBdr>
        <w:spacing w:before="0" w:after="60"/>
      </w:pPr>
      <w:r>
        <w:rPr>
          <w:rFonts w:ascii="Calibri" w:cs="Calibri" w:eastAsia="Calibri" w:hAnsi="Calibri"/>
          <w:b/>
          <w:bCs/>
          <w:color w:val="E8600A"/>
          <w:sz w:val="28"/>
          <w:szCs w:val="28"/>
        </w:rPr>
        <w:t xml:space="preserve">PLUMBLINE  </w:t>
      </w:r>
      <w:r>
        <w:rPr>
          <w:rFonts w:ascii="Calibri" w:cs="Calibri" w:eastAsia="Calibri" w:hAnsi="Calibri"/>
          <w:b/>
          <w:bCs/>
          <w:color w:val="1A2332"/>
          <w:sz w:val="24"/>
          <w:szCs w:val="24"/>
        </w:rPr>
        <w:t xml:space="preserve">·  Pre-Use Inspection Checklist — Keep This on Site</w:t>
      </w:r>
    </w:p>
    <w:p>
      <w:pPr>
        <w:spacing w:before="40" w:after="100"/>
      </w:pPr>
      <w:r>
        <w:rPr>
          <w:rFonts w:ascii="Calibri" w:cs="Calibri" w:eastAsia="Calibri" w:hAnsi="Calibri"/>
          <w:i/>
          <w:iCs/>
          <w:color w:val="6B7280"/>
          <w:sz w:val="15"/>
          <w:szCs w:val="15"/>
        </w:rPr>
        <w:t xml:space="preserve">Post this page on site or keep it with the equipment. Workers complete the daily log on page 1 using these inspection points.</w:t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2200"/>
        <w:gridCol w:w="2800"/>
        <w:gridCol w:w="3600"/>
      </w:tblGrid>
      <w:tr>
        <w:trPr>
          <w:tblHeader/>
        </w:trP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What to check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Standard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Pass / Fail /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Deficiency notes</w:t>
            </w:r>
          </w:p>
        </w:tc>
      </w:tr>
      <w:tr>
        <w:tc>
          <w:tcPr>
            <w:tcW w:type="dxa" w:w="1440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FULL BODY HARNESS  (CSA Z259.10)</w:t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cuts, fraying, burns, or chemical damage to any strap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broken or bent buckles, D-rings, or metal parts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All labels are still there and can be read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Stitching is intact — no loose or broken threads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Straps are not permanently stretched or deformed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Suspension trauma straps are present and undamaged (if used on this site)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The scheduled inspection date is current — not overdue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Z259.10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LANYARD / ENERGY ABSORBER / SRL  (CSA Z259.11, Z259.2.5)</w:t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cuts, fraying, or worn spots on the rope or strap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Z259.11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The shock absorber pack is sealed — it has not deployed or been opened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Z259.11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Hooks and connectors are not damaged. Gate opens, closes, and locks properly.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Z259.12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SRL: cable or strap is not kinked. It retracts smoothly.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Z259.2.5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Lanyard is the right length for the anchor and fall distance on this site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O. Reg. 213/91, s.26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The scheduled inspection date is current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Z259.11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ANCHOR POINT  (O. Reg. 213/91, s.26(4) / CSA Z259.15)</w:t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Anchor is solid — no movement, no visible damage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O. Reg. 213/91, s.26(4)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Load rating is at least 22 kN (5,000 lbs). Label or stamp is present and readable.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O. Reg. 213/91, s.26(4)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No sharp edges at the connection point that could cut the lanyard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O. Reg. 213/91, s.26(4)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Anchor is above the work area — swing fall risk is accounted for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O. Reg. 213/91, s.26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A233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CONNECTORS AND OTHER HARDWARE  (CSA Z259.12)</w:t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Carabiners: gate opens, closes, and locks. No bending or cracking.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Z259.12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Cross-arm straps and beam clamps: no damage, installed correctly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Z259.12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Rope grabs and positioning straps: undamaged, installed correctly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CSA Z259.12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Pass    ☐ Fail    ☐ N/A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EE2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B91C1C"/>
                <w:sz w:val="17"/>
                <w:szCs w:val="17"/>
              </w:rPr>
              <w:t xml:space="preserve">AFTER ANY FALL — Remove equipment from service immediately. Do not use again until cleared by a competent person.</w:t>
            </w:r>
          </w:p>
        </w:tc>
      </w:tr>
      <w:tr>
        <w:tc>
          <w:tcPr>
            <w:tcW w:type="dxa" w:w="5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0D0D"/>
                <w:sz w:val="17"/>
                <w:szCs w:val="17"/>
              </w:rPr>
              <w:t xml:space="preserve">Has this equipment caught a fall since the last inspection?</w:t>
            </w:r>
          </w:p>
        </w:tc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D4ED8"/>
                <w:sz w:val="14"/>
                <w:szCs w:val="14"/>
              </w:rPr>
              <w:t xml:space="preserve">O. Reg. 213/91</w:t>
            </w:r>
          </w:p>
        </w:tc>
        <w:tc>
          <w:tcPr>
            <w:tcW w:type="dxa" w:w="2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>☐ Yes — take out of service    ☐ No</w:t>
            </w:r>
          </w:p>
        </w:tc>
        <w:tc>
          <w:tcPr>
            <w:tcW w:type="dxa" w:w="36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D0D0D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14400"/>
            <w:gridSpan w:val="4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B91C1C"/>
                <w:sz w:val="16"/>
                <w:szCs w:val="16"/>
              </w:rPr>
              <w:t xml:space="preserve">If yes — tag the equipment out of service right now. Do not use it until a competent person inspects it or it is returned to the manufacturer or their authorized agent. Write up the incident.</w:t>
            </w:r>
          </w:p>
        </w:tc>
      </w:tr>
    </w:tbl>
    <w:p>
      <w:pPr>
        <w:spacing w:before="0" w:after="0"/>
      </w:pPr>
      <w:r>
        <w:t xml:space="preserve"/>
      </w:r>
    </w:p>
    <w:p>
      <w:pPr>
        <w:pBdr>
          <w:left w:val="single" w:color="B91C1C" w:sz="12" w:space="8"/>
        </w:pBdr>
        <w:spacing w:before="60" w:after="40"/>
      </w:pPr>
      <w:r>
        <w:rPr>
          <w:rFonts w:ascii="Calibri" w:cs="Calibri" w:eastAsia="Calibri" w:hAnsi="Calibri"/>
          <w:b/>
          <w:bCs/>
          <w:color w:val="B91C1C"/>
          <w:sz w:val="16"/>
          <w:szCs w:val="16"/>
        </w:rPr>
        <w:t xml:space="preserve">Any Fail = equipment stays on the ground. Tell your supervisor before work at height starts. Do not use damaged equipment.</w:t>
      </w:r>
    </w:p>
    <w:p>
      <w:pPr>
        <w:spacing w:before="60" w:after="0"/>
      </w:pPr>
      <w:r>
        <w:rPr>
          <w:rFonts w:ascii="Calibri" w:cs="Calibri" w:eastAsia="Calibri" w:hAnsi="Calibri"/>
          <w:i/>
          <w:iCs/>
          <w:color w:val="6B7280"/>
          <w:sz w:val="14"/>
          <w:szCs w:val="14"/>
        </w:rPr>
        <w:t xml:space="preserve">Keep this log on site. Ontario law requires records to be available for inspection and kept for at least one year after the project ends. (O. Reg. 213/91, s.19)</w:t>
      </w:r>
    </w:p>
    <w:sectPr>
      <w:headerReference w:type="default" r:id="rId6"/>
      <w:footerReference w:type="default" r:id="rId7"/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4" w:space="4"/>
      </w:pBdr>
      <w:spacing w:before="0"/>
      <w:jc w:val="right"/>
    </w:pPr>
    <w:r>
      <w:rPr>
        <w:rFonts w:ascii="Calibri" w:cs="Calibri" w:eastAsia="Calibri" w:hAnsi="Calibri"/>
        <w:color w:val="6B7280"/>
        <w:sz w:val="14"/>
        <w:szCs w:val="14"/>
      </w:rPr>
      <w:t xml:space="preserve">Charron Digital Group Inc.  ·  Not legal advice.  ·  plumbline.work  ·  Page </w:t>
    </w:r>
    <w:r>
      <w:rPr>
        <w:rFonts w:ascii="Calibri" w:cs="Calibri" w:eastAsia="Calibri" w:hAnsi="Calibri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1D5DB" w:sz="4" w:space="4"/>
      </w:pBdr>
      <w:spacing w:after="0"/>
    </w:pPr>
    <w:r>
      <w:rPr>
        <w:rFonts w:ascii="Calibri" w:cs="Calibri" w:eastAsia="Calibri" w:hAnsi="Calibri"/>
        <w:color w:val="6B7280"/>
        <w:sz w:val="14"/>
        <w:szCs w:val="14"/>
      </w:rPr>
      <w:t xml:space="preserve">PLUMBLINE  ·  Daily Pre-Use Fall Protection Inspection  ·  One form per month per site  ·  Retain minimum 1 year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Calibri" w:cs="Calibri" w:eastAsia="Calibri" w:hAnsi="Calibri"/>
      <w:b/>
      <w:bCs/>
      <w:color w:val="E8600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00"/>
      <w:outlineLvl w:val="1"/>
    </w:pPr>
    <w:rPr>
      <w:rFonts w:ascii="Calibri" w:cs="Calibri" w:eastAsia="Calibri" w:hAnsi="Calibri"/>
      <w:b/>
      <w:bCs/>
      <w:color w:val="1A2332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20" w:after="80"/>
      <w:outlineLvl w:val="2"/>
    </w:pPr>
    <w:rPr>
      <w:rFonts w:ascii="Calibri" w:cs="Calibri" w:eastAsia="Calibri" w:hAnsi="Calibri"/>
      <w:b/>
      <w:bCs/>
      <w:color w:val="0D0D0D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2026-03-27T21:47:24.965Z</dcterms:created>
  <dcterms:modified xsi:type="dcterms:W3CDTF">2026-03-27T21:47:24.965Z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