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440" w:after="80"/>
      </w:pPr>
      <w:r>
        <w:rPr>
          <w:rFonts w:ascii="Calibri" w:cs="Calibri" w:eastAsia="Calibri" w:hAnsi="Calibri"/>
          <w:b/>
          <w:bCs/>
          <w:color w:val="E8600A"/>
          <w:sz w:val="56"/>
          <w:szCs w:val="56"/>
        </w:rPr>
        <w:t xml:space="preserve">PLUMBLINE</w:t>
      </w:r>
    </w:p>
    <w:p>
      <w:pPr>
        <w:pBdr>
          <w:bottom w:val="single" w:color="E8600A" w:sz="24" w:space="8"/>
        </w:pBdr>
        <w:spacing w:before="0" w:after="16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FREE TOOL</w:t>
      </w:r>
    </w:p>
    <w:p>
      <w:pPr>
        <w:spacing w:before="0" w:after="0"/>
      </w:pPr>
      <w:r>
        <w:t xml:space="preserve"/>
      </w:r>
    </w:p>
    <w:p>
      <w:pPr>
        <w:spacing w:before="240" w:after="120"/>
      </w:pPr>
      <w:r>
        <w:rPr>
          <w:rFonts w:ascii="Calibri" w:cs="Calibri" w:eastAsia="Calibri" w:hAnsi="Calibri"/>
          <w:b/>
          <w:bCs/>
          <w:color w:val="0D0D0D"/>
          <w:sz w:val="52"/>
          <w:szCs w:val="52"/>
        </w:rPr>
        <w:t xml:space="preserve">Job Closeout Checklist</w:t>
      </w:r>
    </w:p>
    <w:p>
      <w:pPr>
        <w:spacing w:before="0" w:after="200"/>
      </w:pPr>
      <w:r>
        <w:rPr>
          <w:rFonts w:ascii="Calibri" w:cs="Calibri" w:eastAsia="Calibri" w:hAnsi="Calibri"/>
          <w:b/>
          <w:bCs/>
          <w:color w:val="1A2332"/>
          <w:sz w:val="26"/>
          <w:szCs w:val="26"/>
        </w:rPr>
        <w:t xml:space="preserve">Run through this before every final invoice goes out.</w:t>
      </w:r>
    </w:p>
    <w:p>
      <w:pPr>
        <w:spacing w:before="0" w:after="48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The ten-minute check that pays for itself the first time you catch an unbilled extra.</w:t>
      </w:r>
    </w:p>
    <w:p>
      <w:pPr>
        <w:pBdr>
          <w:top w:val="single" w:color="D1D5DB" w:sz="4" w:space="8"/>
        </w:pBdr>
        <w:spacing w:before="0" w:after="0"/>
      </w:pPr>
      <w:r>
        <w:rPr>
          <w:rFonts w:ascii="Calibri" w:cs="Calibri" w:eastAsia="Calibri" w:hAnsi="Calibri"/>
          <w:color w:val="6B7280"/>
          <w:sz w:val="17"/>
          <w:szCs w:val="17"/>
        </w:rPr>
        <w:t xml:space="preserve">plumbline.work  ·  Free Resource  ·  Charron Digital Group Inc.</w:t>
      </w:r>
    </w:p>
    <w:p>
      <w:pPr>
        <w:spacing w:before="0" w:after="0"/>
      </w:pPr>
      <w:r>
        <w:br w:type="pag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Why You Need a Closeout Checklist</w:t>
      </w:r>
    </w:p>
    <w:p>
      <w:pPr>
        <w:spacing w:before="60"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D0D0D"/>
          <w:sz w:val="19"/>
          <w:szCs w:val="19"/>
        </w:rPr>
        <w:t xml:space="preserve">Most contractors lose money at the end of jobs, not during them. The work gets done, the crew moves on, and the invoice goes out without a final review. Extras get forgotten. Deficiencies are not documented. The holdback window closes before anyone follows up.</w:t>
      </w:r>
    </w:p>
    <w:p>
      <w:pPr>
        <w:spacing w:before="60" w:after="80"/>
      </w:pPr>
      <w:r>
        <w:rPr>
          <w:rFonts w:ascii="Calibri" w:cs="Calibri" w:eastAsia="Calibri" w:hAnsi="Calibri"/>
          <w:b/>
          <w:bCs/>
          <w:i w:val="false"/>
          <w:iCs w:val="false"/>
          <w:color w:val="0D0D0D"/>
          <w:sz w:val="19"/>
          <w:szCs w:val="19"/>
        </w:rPr>
        <w:t xml:space="preserve">This checklist takes ten minutes. Run it before every final invoice.</w:t>
      </w:r>
    </w:p>
    <w:p>
      <w:pPr>
        <w:spacing w:before="0" w:after="0"/>
      </w:pPr>
      <w:r>
        <w:t xml:space="preserve"/>
      </w:r>
    </w:p>
    <w:p>
      <w:pPr>
        <w:pBdr>
          <w:left w:val="single" w:color="166534" w:sz="12" w:space="8"/>
        </w:pBdr>
        <w:spacing w:before="80" w:after="80"/>
        <w:ind w:left="360"/>
      </w:pPr>
      <w:r>
        <w:rPr>
          <w:rFonts w:ascii="Calibri" w:cs="Calibri" w:eastAsia="Calibri" w:hAnsi="Calibri"/>
          <w:i/>
          <w:iCs/>
          <w:color w:val="166534"/>
          <w:sz w:val="17"/>
          <w:szCs w:val="17"/>
        </w:rPr>
        <w:t xml:space="preserve">A single missed extra on a $150,000 job costs more than a full year of Plumbline tools. The checklist is free. Use it.</w:t>
      </w:r>
    </w:p>
    <w:p>
      <w:pPr>
        <w:spacing w:before="0" w:after="0"/>
      </w:pPr>
      <w:r>
        <w:t xml:space="preserv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How to Use This Checklist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0D0D0D"/>
          <w:sz w:val="19"/>
          <w:szCs w:val="19"/>
        </w:rPr>
        <w:t xml:space="preserve">Fill in the job header at the top.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0D0D0D"/>
          <w:sz w:val="19"/>
          <w:szCs w:val="19"/>
        </w:rPr>
        <w:t xml:space="preserve">Work through each section in order.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0D0D0D"/>
          <w:sz w:val="19"/>
          <w:szCs w:val="19"/>
        </w:rPr>
        <w:t xml:space="preserve">Check the box when you have confirmed that item is done.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0D0D0D"/>
          <w:sz w:val="19"/>
          <w:szCs w:val="19"/>
        </w:rPr>
        <w:t xml:space="preserve">Flag anything you cannot check off — those are your open items.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0D0D0D"/>
          <w:sz w:val="19"/>
          <w:szCs w:val="19"/>
        </w:rPr>
        <w:t xml:space="preserve">Do not send the final invoice until every item in the Financial section is checked.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0D0D0D"/>
          <w:sz w:val="19"/>
          <w:szCs w:val="19"/>
        </w:rPr>
        <w:t xml:space="preserve">File the completed checklist with the job records. Keep it for at least two years.</w:t>
      </w:r>
    </w:p>
    <w:p>
      <w:pPr>
        <w:spacing w:before="0" w:after="0"/>
      </w:pPr>
      <w:r>
        <w:t xml:space="preserve"/>
      </w:r>
    </w:p>
    <w:p>
      <w:pPr>
        <w:spacing w:before="0" w:after="0"/>
      </w:pPr>
      <w:r>
        <w:br w:type="pag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Job Closeout Checklist</w:t>
      </w:r>
    </w:p>
    <w:p>
      <w:pPr>
        <w:spacing w:before="0" w:after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80"/>
        <w:gridCol w:w="3360"/>
        <w:gridCol w:w="1680"/>
        <w:gridCol w:w="3360"/>
      </w:tblGrid>
      <w:tr>
        <w:tc>
          <w:tcPr>
            <w:tcW w:type="dxa" w:w="1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Job name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Job number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Client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Closeout date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Completed by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Contract value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$</w:t>
            </w:r>
          </w:p>
        </w:tc>
      </w:tr>
    </w:tbl>
    <w:p>
      <w:pPr>
        <w:spacing w:before="0" w:after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6720"/>
        <w:gridCol w:w="1200"/>
        <w:gridCol w:w="1600"/>
      </w:tblGrid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/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Closeout Item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Section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Notes or Action</w:t>
            </w:r>
          </w:p>
        </w:tc>
      </w:tr>
      <w:tr>
        <w:tc>
          <w:tcPr>
            <w:tcW w:type="dxa" w:w="1008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FINANCIAL — Complete before sending the final invoice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Labour hours match the timesheets for this job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Compare final hours to payroll records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All material costs are matched to receipts and invoices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All subcontractor invoices received and checked against agreements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Every extra and change order has been identified and listed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Check site notes and text messages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Every extra has a dollar value attached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Every extra is on the invoice — nothing left unbilled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This is the most common place money is lost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Every change order has written client acknowledgment on file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Email, text, or signed document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Final contract value confirmed — original plus all approved extras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Final invoice reviewed before sending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Holdback amount identified and payment terms noted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Financial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Usually 10%, due 45 days after substantial completion in Ontario</w:t>
            </w:r>
          </w:p>
        </w:tc>
      </w:tr>
      <w:tr>
        <w:tc>
          <w:tcPr>
            <w:tcW w:type="dxa" w:w="1008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QUALITY — Confirm the work is finished and documented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Final walkthrough completed with the client or GC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Quality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All deficiencies identified and listed in writing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Quality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Even small ones. List them.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Timeline to fix deficiencies agreed with the client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Quality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All deficiencies resolved or formally listed as outstanding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Quality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Client has confirmed in writing that the scope is complete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Quality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Written is better than verbal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Any warranty terms sent to the client in writing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Quality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Photos or as-built notes taken and filed for buried work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Quality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1008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SAFETY AND COMPLIANCE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All daily JSAs for this job filed and accessible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Safety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Any incidents or near misses on this job logged and closed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Safety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WSIB or MLITSD reporting completed if required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Safety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Site cleaned up — all materials, waste, and equipment removed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Safety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Any permits or inspections — final sign-off obtained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Safety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1008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LEGAL AND ADMINISTRATION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Substantial completion date recorded — this starts the lien period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Legal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45 days in Ontario for most construction projects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Certificate of Substantial Completion issued if needed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Legal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Required in some cases to start the holdback release period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Calendar reminder set for day 45 after substantial completion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Legal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After this date your lien rights expire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Statutory declarations from all subcontractors obtained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Legal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Required before you release holdback to subs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All project documents filed — contracts, change orders, approvals, JSAs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Admin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Client contact information updated in your records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Admin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For warranty follow-up and referrals</w:t>
            </w:r>
          </w:p>
        </w:tc>
      </w:tr>
      <w:tr>
        <w:tc>
          <w:tcPr>
            <w:tcW w:type="dxa" w:w="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☐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Referral or review requested from the client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Admin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/>
            </w:r>
          </w:p>
        </w:tc>
      </w:tr>
    </w:tbl>
    <w:p>
      <w:pPr>
        <w:spacing w:before="0" w:after="0"/>
      </w:pPr>
      <w:r>
        <w:br w:type="pag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Financial Summary</w:t>
      </w:r>
    </w:p>
    <w:p>
      <w:pPr>
        <w:spacing w:before="60" w:after="120"/>
      </w:pPr>
      <w:r>
        <w:rPr>
          <w:rFonts w:ascii="Calibri" w:cs="Calibri" w:eastAsia="Calibri" w:hAnsi="Calibri"/>
          <w:b w:val="false"/>
          <w:bCs w:val="false"/>
          <w:i/>
          <w:iCs/>
          <w:color w:val="0D0D0D"/>
          <w:sz w:val="18"/>
          <w:szCs w:val="18"/>
        </w:rPr>
        <w:t xml:space="preserve">Complete this after the checklist is done. This is your permanent record of what the job made.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Line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Budget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Actual</w:t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Original contract value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Change orders and extras total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Revised contract value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Labour cost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Materials cost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Subcontractor cost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Total cost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Gross profit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Gross margin %</w:t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</w:tbl>
    <w:p>
      <w:pPr>
        <w:spacing w:before="0" w:after="0"/>
      </w:pPr>
      <w:r>
        <w:t xml:space="preserv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Common Closeout Mistakes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720"/>
      </w:tblGrid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Mistake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What It Costs You</w:t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7"/>
                <w:szCs w:val="17"/>
              </w:rPr>
              <w:t xml:space="preserve">Invoicing without checking extras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It is common to miss $2,000–$10,000 on larger jobs. Once the invoice is sent, it is awkward to add to it.</w:t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7"/>
                <w:szCs w:val="17"/>
              </w:rPr>
              <w:t xml:space="preserve">No written client sign-off before the final invoice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Client disputes work quality after paying. Without a written record, you have nothing to stand on.</w:t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7"/>
                <w:szCs w:val="17"/>
              </w:rPr>
              <w:t xml:space="preserve">Missing the lien window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45 days from substantial completion in Ontario. After this, your lien rights are gone permanently.</w:t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7"/>
                <w:szCs w:val="17"/>
              </w:rPr>
              <w:t xml:space="preserve">Not documenting deficiencies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Client claims more deficiencies than actually existed. No record to dispute it.</w:t>
            </w:r>
          </w:p>
        </w:tc>
      </w:tr>
      <w:tr>
        <w:tc>
          <w:tcPr>
            <w:tcW w:type="dxa" w:w="3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7"/>
                <w:szCs w:val="17"/>
              </w:rPr>
              <w:t xml:space="preserve">Not following up on holdback</w:t>
            </w:r>
          </w:p>
        </w:tc>
        <w:tc>
          <w:tcPr>
            <w:tcW w:type="dxa" w:w="67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Holdback sits uncollected. Some contractors lose thousands per year this way.</w:t>
            </w:r>
          </w:p>
        </w:tc>
      </w:tr>
    </w:tbl>
    <w:p>
      <w:pPr>
        <w:spacing w:before="0" w:after="0"/>
      </w:pPr>
      <w:r>
        <w:t xml:space="preserv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Where to Read the Law</w:t>
      </w:r>
    </w:p>
    <w:p>
      <w:pPr>
        <w:spacing w:before="6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D0D0D"/>
          <w:sz w:val="19"/>
          <w:szCs w:val="19"/>
        </w:rPr>
        <w:t xml:space="preserve">The references in this checklist point to specific sections of Ontario law. Use the table below to find the full text online.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28"/>
        <w:gridCol w:w="4032"/>
        <w:gridCol w:w="2520"/>
      </w:tblGrid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Law or Standard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What It Covers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Where to Find It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Construction Act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Governs payment, holdbacks, and lien rights on Ontario construction projects.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ontario.ca/laws/statute/90c30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Occupational Health and Safety Act (OHSA)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Ontario’s main workplace safety law. Sets out the duties of employers, supervisors, and workers.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ontario.ca/laws/statute/90o01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IHSA Construction Safety Guide (plain language)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Plain-language guide to Ontario construction law. Easier to read than the raw legislation. Works on mobile.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ohsguide.ihsa.ca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0" w:after="0"/>
      </w:pPr>
      <w:r>
        <w:br w:type="pag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Where to Read the Law</w:t>
      </w:r>
    </w:p>
    <w:p>
      <w:pPr>
        <w:spacing w:before="60"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D0D0D"/>
          <w:sz w:val="19"/>
          <w:szCs w:val="19"/>
        </w:rPr>
        <w:t xml:space="preserve">The references in these policies point to specific sections of Ontario law. Use the table below to find the full text online.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28"/>
        <w:gridCol w:w="4032"/>
        <w:gridCol w:w="2520"/>
      </w:tblGrid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Law or Standard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What It Covers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Where to Find It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Occupational Health and Safety Act (OHSA)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Ontario’s main workplace safety law. Sets out the duties of employers, supervisors, and workers.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ontario.ca/laws/statute/90o01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O. Reg. 213/91 — Construction Projects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The main regulation governing safety on Ontario construction sites. Sections 26–26.9 cover fall protection.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ontario.ca/laws/regulation/910213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O. Reg. 297/13 — Working at Heights Training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Sets the requirements for Working at Heights certification on construction sites.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ontario.ca/laws/regulation/130297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Employment Standards Act (ESA)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Sets minimum standards for employment in Ontario — wages, hours, vacation, and termination.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ontario.ca/laws/statute/00e41</w:t>
            </w:r>
          </w:p>
        </w:tc>
      </w:tr>
      <w:tr>
        <w:tc>
          <w:tcPr>
            <w:tcW w:type="dxa" w:w="352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IHSA Construction Safety Guide (plain language)</w:t>
            </w:r>
          </w:p>
        </w:tc>
        <w:tc>
          <w:tcPr>
            <w:tcW w:type="dxa" w:w="403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Plain-language guide to Ontario construction law. Easier to read than the raw legislation. Works on mobile.</w:t>
            </w:r>
          </w:p>
        </w:tc>
        <w:tc>
          <w:tcPr>
            <w:tcW w:type="dxa" w:w="25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D4ED8"/>
                <w:sz w:val="15"/>
                <w:szCs w:val="15"/>
              </w:rPr>
              <w:t xml:space="preserve">ohsguide.ihsa.ca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0" w:after="0"/>
      </w:pPr>
      <w:r>
        <w:br w:type="page"/>
      </w:r>
    </w:p>
    <w:p>
      <w:pPr>
        <w:pStyle w:val="Heading1"/>
        <w:pBdr>
          <w:bottom w:val="single" w:color="E8600A" w:sz="6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E8600A"/>
          <w:sz w:val="36"/>
          <w:szCs w:val="36"/>
        </w:rPr>
        <w:t xml:space="preserve">Glossary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Term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Plain Language Definition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Certificate of Substantial Completion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 formal document that marks the date a project is considered substantially done. It starts the holdback release period for subcontractors. Required in some contracts and under the Construction Act.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Change order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 written record of any change to the original scope of work. Includes a description, a dollar value, and client acknowledgment. Without a change order, an extra is very difficult to collect.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Construction Act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Ontario legislation (Construction Act, R.S.O. 1990, c. C.30) that governs payment, holdbacks, and lien rights on construction projects.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Deficiency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Work that does not meet the agreed standard or the contract requirements. Must be documented in writing at closeout so the scope of corrections is clear to both parties.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GC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General Contractor. The main company managing the construction project.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Holdback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 portion of each payment — usually 10% — that the owner holds back until the lien period expires and all subcontractors have been paid. Governed by the Construction Act.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JSA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Job Safety Analysis. A written hazard assessment completed before starting a task. Documents the hazards, who is at risk, and what controls are in place.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Lien period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The time a contractor, subcontractor, or supplier has to register a lien against a property if they have not been paid. In Ontario, this is generally 45 days after the last day of work or supply of materials.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MLITSD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Ministry of Labour, Immigration, Training and Skills Development. The Ontario government body that enforces workplace safety laws.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Statutory declaration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 legal sworn statement. Subcontractors provide these to confirm they have paid their own suppliers and workers before holdback is released.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Substantial completion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The point at which a project is complete enough to be used for its intended purpose, even if minor work remains. Starts the 45-day lien period.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WSIB</w:t>
            </w:r>
          </w:p>
        </w:tc>
        <w:tc>
          <w:tcPr>
            <w:tcW w:type="dxa" w:w="7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Workplace Safety and Insurance Board. Ontario's workers' compensation body. Employers must report certain workplace injuries. WSIB clearance certificates confirm a subcontractor's account is in good standing.</w:t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left w:val="single" w:color="166534" w:sz="12" w:space="8"/>
        </w:pBdr>
        <w:spacing w:before="80" w:after="80"/>
        <w:ind w:left="360"/>
      </w:pPr>
      <w:r>
        <w:rPr>
          <w:rFonts w:ascii="Calibri" w:cs="Calibri" w:eastAsia="Calibri" w:hAnsi="Calibri"/>
          <w:i/>
          <w:iCs/>
          <w:color w:val="166534"/>
          <w:sz w:val="17"/>
          <w:szCs w:val="17"/>
        </w:rPr>
        <w:t xml:space="preserve">The Closeout Shield on Plumbline runs this checklist digitally — it blocks the invoice until all extras are captured, tracks change order acknowledgments, and logs the closeout record permanently. Book a free Operational Audit at plumbline.work.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4"/>
      </w:pBdr>
      <w:spacing w:before="0"/>
      <w:jc w:val="right"/>
    </w:pPr>
    <w:r>
      <w:rPr>
        <w:rFonts w:ascii="Calibri" w:cs="Calibri" w:eastAsia="Calibri" w:hAnsi="Calibri"/>
        <w:color w:val="6B7280"/>
        <w:sz w:val="14"/>
        <w:szCs w:val="14"/>
      </w:rPr>
      <w:t xml:space="preserve">Free resource — Charron Digital Group Inc.  ·  Not legal advice.  ·  Page </w:t>
    </w:r>
    <w:r>
      <w:rPr>
        <w:rFonts w:ascii="Calibri" w:cs="Calibri" w:eastAsia="Calibri" w:hAnsi="Calibri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4" w:space="4"/>
      </w:pBdr>
      <w:spacing w:after="0"/>
    </w:pPr>
    <w:r>
      <w:rPr>
        <w:rFonts w:ascii="Calibri" w:cs="Calibri" w:eastAsia="Calibri" w:hAnsi="Calibri"/>
        <w:color w:val="6B7280"/>
        <w:sz w:val="14"/>
        <w:szCs w:val="14"/>
      </w:rPr>
      <w:t xml:space="preserve">PLUMBLINE  ·  Job Closeout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Calibri" w:cs="Calibri" w:eastAsia="Calibri" w:hAnsi="Calibri"/>
      <w:b/>
      <w:bCs/>
      <w:color w:val="E8600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00"/>
      <w:outlineLvl w:val="1"/>
    </w:pPr>
    <w:rPr>
      <w:rFonts w:ascii="Calibri" w:cs="Calibri" w:eastAsia="Calibri" w:hAnsi="Calibri"/>
      <w:b/>
      <w:bCs/>
      <w:color w:val="1A2332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20" w:after="80"/>
      <w:outlineLvl w:val="2"/>
    </w:pPr>
    <w:rPr>
      <w:rFonts w:ascii="Calibri" w:cs="Calibri" w:eastAsia="Calibri" w:hAnsi="Calibri"/>
      <w:b/>
      <w:bCs/>
      <w:color w:val="0D0D0D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2026-03-27T21:47:25.090Z</dcterms:created>
  <dcterms:modified xsi:type="dcterms:W3CDTF">2026-03-27T21:47:25.090Z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