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80"/>
      </w:pPr>
      <w:r>
        <w:rPr>
          <w:rFonts w:ascii="Calibri" w:cs="Calibri" w:eastAsia="Calibri" w:hAnsi="Calibri"/>
          <w:b/>
          <w:bCs/>
          <w:color w:val="E8600A"/>
          <w:sz w:val="56"/>
          <w:szCs w:val="56"/>
        </w:rPr>
        <w:t xml:space="preserve">PLUMBLINE</w:t>
      </w:r>
    </w:p>
    <w:p>
      <w:pPr>
        <w:pBdr>
          <w:bottom w:val="single" w:color="E8600A" w:sz="24" w:space="8"/>
        </w:pBdr>
        <w:spacing w:before="0" w:after="160"/>
      </w:pPr>
      <w:r>
        <w:rPr>
          <w:rFonts w:ascii="Calibri" w:cs="Calibri" w:eastAsia="Calibri" w:hAnsi="Calibri"/>
          <w:b/>
          <w:bCs/>
          <w:color w:val="6B7280"/>
          <w:sz w:val="18"/>
          <w:szCs w:val="18"/>
        </w:rPr>
        <w:t xml:space="preserve">FREE TEMPLATE</w:t>
      </w:r>
    </w:p>
    <w:p>
      <w:pPr>
        <w:spacing w:before="0" w:after="0"/>
      </w:pPr>
      <w:r>
        <w:t xml:space="preserve"/>
      </w:r>
    </w:p>
    <w:p>
      <w:pPr>
        <w:spacing w:before="240" w:after="120"/>
      </w:pPr>
      <w:r>
        <w:rPr>
          <w:rFonts w:ascii="Calibri" w:cs="Calibri" w:eastAsia="Calibri" w:hAnsi="Calibri"/>
          <w:b/>
          <w:bCs/>
          <w:color w:val="0D0D0D"/>
          <w:sz w:val="52"/>
          <w:szCs w:val="52"/>
        </w:rPr>
        <w:t xml:space="preserve">PPE Policy</w:t>
      </w:r>
    </w:p>
    <w:p>
      <w:pPr>
        <w:spacing w:before="0" w:after="200"/>
      </w:pPr>
      <w:r>
        <w:rPr>
          <w:rFonts w:ascii="Calibri" w:cs="Calibri" w:eastAsia="Calibri" w:hAnsi="Calibri"/>
          <w:b/>
          <w:bCs/>
          <w:color w:val="1A2332"/>
          <w:sz w:val="26"/>
          <w:szCs w:val="26"/>
        </w:rPr>
        <w:t xml:space="preserve">Personal Protective Equipment — Ontario Construction</w:t>
      </w:r>
    </w:p>
    <w:p>
      <w:pPr>
        <w:spacing w:before="0" w:after="480"/>
      </w:pPr>
      <w:r>
        <w:rPr>
          <w:rFonts w:ascii="Calibri" w:cs="Calibri" w:eastAsia="Calibri" w:hAnsi="Calibri"/>
          <w:i/>
          <w:iCs/>
          <w:color w:val="6B7280"/>
          <w:sz w:val="20"/>
          <w:szCs w:val="20"/>
        </w:rPr>
        <w:t xml:space="preserve">Customize with your company name. Have every worker sign. Post on site.</w:t>
      </w:r>
    </w:p>
    <w:p>
      <w:pPr>
        <w:pBdr>
          <w:top w:val="single" w:color="D1D5DB" w:sz="4" w:space="8"/>
        </w:pBdr>
        <w:spacing w:before="0" w:after="0"/>
      </w:pPr>
      <w:r>
        <w:rPr>
          <w:rFonts w:ascii="Calibri" w:cs="Calibri" w:eastAsia="Calibri" w:hAnsi="Calibri"/>
          <w:color w:val="6B7280"/>
          <w:sz w:val="17"/>
          <w:szCs w:val="17"/>
        </w:rPr>
        <w:t xml:space="preserve">plumbline.work  ·  Free Resource  ·  Charron Digital Group Inc.</w:t>
      </w:r>
    </w:p>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Policy Statement</w:t>
      </w:r>
    </w:p>
    <w:p>
      <w:pPr>
        <w:spacing w:before="60" w:after="80"/>
      </w:pPr>
      <w:r>
        <w:rPr>
          <w:rFonts w:ascii="Calibri" w:cs="Calibri" w:eastAsia="Calibri" w:hAnsi="Calibri"/>
          <w:b w:val="false"/>
          <w:bCs w:val="false"/>
          <w:i w:val="false"/>
          <w:iCs w:val="false"/>
          <w:color w:val="0D0D0D"/>
          <w:sz w:val="19"/>
          <w:szCs w:val="19"/>
        </w:rPr>
        <w:t xml:space="preserve">[Company Name] requires all workers, supervisors, subcontractors, and visitors to use the right personal protective equipment (PPE) for their work. PPE is not optional. It is a condition of working on any [Company Name] site or yard.</w:t>
      </w:r>
      <w:r>
        <w:rPr>
          <w:rFonts w:ascii="Calibri" w:cs="Calibri" w:eastAsia="Calibri" w:hAnsi="Calibri"/>
          <w:i/>
          <w:iCs/>
          <w:color w:val="1D4ED8"/>
          <w:sz w:val="16"/>
          <w:szCs w:val="16"/>
        </w:rPr>
        <w:t xml:space="preserve"> (OHSA, s.25(1)(b), s.25(2)(h))</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Who This Policy Applies To</w:t>
      </w:r>
    </w:p>
    <w:p>
      <w:pPr>
        <w:pStyle w:val="ListParagraph"/>
        <w:numPr>
          <w:ilvl w:val="0"/>
          <w:numId w:val="2"/>
        </w:numPr>
        <w:spacing w:before="40" w:after="40"/>
      </w:pPr>
      <w:r>
        <w:rPr>
          <w:rFonts w:ascii="Calibri" w:cs="Calibri" w:eastAsia="Calibri" w:hAnsi="Calibri"/>
          <w:color w:val="0D0D0D"/>
          <w:sz w:val="19"/>
          <w:szCs w:val="19"/>
        </w:rPr>
        <w:t xml:space="preserve">All employees — full-time, part-time, and temporary</w:t>
      </w:r>
    </w:p>
    <w:p>
      <w:pPr>
        <w:pStyle w:val="ListParagraph"/>
        <w:numPr>
          <w:ilvl w:val="0"/>
          <w:numId w:val="2"/>
        </w:numPr>
        <w:spacing w:before="40" w:after="40"/>
      </w:pPr>
      <w:r>
        <w:rPr>
          <w:rFonts w:ascii="Calibri" w:cs="Calibri" w:eastAsia="Calibri" w:hAnsi="Calibri"/>
          <w:color w:val="0D0D0D"/>
          <w:sz w:val="19"/>
          <w:szCs w:val="19"/>
        </w:rPr>
        <w:t xml:space="preserve">All subcontractors and their workers</w:t>
      </w:r>
    </w:p>
    <w:p>
      <w:pPr>
        <w:pStyle w:val="ListParagraph"/>
        <w:numPr>
          <w:ilvl w:val="0"/>
          <w:numId w:val="2"/>
        </w:numPr>
        <w:spacing w:before="40" w:after="40"/>
      </w:pPr>
      <w:r>
        <w:rPr>
          <w:rFonts w:ascii="Calibri" w:cs="Calibri" w:eastAsia="Calibri" w:hAnsi="Calibri"/>
          <w:color w:val="0D0D0D"/>
          <w:sz w:val="19"/>
          <w:szCs w:val="19"/>
        </w:rPr>
        <w:t xml:space="preserve">All visitors and clients on any [Company Name] site or yard</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Required PPE by Task</w:t>
      </w:r>
    </w:p>
    <w:p>
      <w:pPr>
        <w:spacing w:before="60" w:after="120"/>
      </w:pPr>
      <w:r>
        <w:rPr>
          <w:rFonts w:ascii="Calibri" w:cs="Calibri" w:eastAsia="Calibri" w:hAnsi="Calibri"/>
          <w:b w:val="false"/>
          <w:bCs w:val="false"/>
          <w:i w:val="false"/>
          <w:iCs w:val="false"/>
          <w:color w:val="0D0D0D"/>
          <w:sz w:val="19"/>
          <w:szCs w:val="19"/>
        </w:rPr>
        <w:t xml:space="preserve">The table below sets the minimum PPE required for common tasks on Ontario construction sites. Your supervisor may require additional PPE based on site conditions.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4280"/>
      </w:tblGrid>
      <w:tr>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PPE Item</w:t>
            </w:r>
          </w:p>
        </w:tc>
        <w:tc>
          <w:tcPr>
            <w:tcW w:type="dxa" w:w="30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When Required</w:t>
            </w:r>
          </w:p>
        </w:tc>
        <w:tc>
          <w:tcPr>
            <w:tcW w:type="dxa" w:w="42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Ontario Requirement</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Hard hat (CSA Z94.1, Class E)</w:t>
            </w:r>
          </w:p>
        </w:tc>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Any time on a construction site — no exceptions</w:t>
            </w:r>
          </w:p>
        </w:tc>
        <w:tc>
          <w:tcPr>
            <w:tcW w:type="dxa" w:w="42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 s.22</w:t>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Safety boots (CSA Z195)</w:t>
            </w:r>
          </w:p>
        </w:tc>
        <w:tc>
          <w:tcPr>
            <w:tcW w:type="dxa" w:w="30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Any time on site or in the yard</w:t>
            </w:r>
          </w:p>
        </w:tc>
        <w:tc>
          <w:tcPr>
            <w:tcW w:type="dxa" w:w="42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 s.23</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High-visibility vest (CSA Z96, Class 2)</w:t>
            </w:r>
          </w:p>
        </w:tc>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Any time near traffic, equipment, or moving vehicles</w:t>
            </w:r>
          </w:p>
        </w:tc>
        <w:tc>
          <w:tcPr>
            <w:tcW w:type="dxa" w:w="42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w:t>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Safety glasses (CSA Z94.3)</w:t>
            </w:r>
          </w:p>
        </w:tc>
        <w:tc>
          <w:tcPr>
            <w:tcW w:type="dxa" w:w="30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Any task with a risk of eye injury — cutting, grinding, nailing, demolition</w:t>
            </w:r>
          </w:p>
        </w:tc>
        <w:tc>
          <w:tcPr>
            <w:tcW w:type="dxa" w:w="42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 s.24</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Hearing protection</w:t>
            </w:r>
          </w:p>
        </w:tc>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When noise levels require it — power tools, equipment operation</w:t>
            </w:r>
          </w:p>
        </w:tc>
        <w:tc>
          <w:tcPr>
            <w:tcW w:type="dxa" w:w="42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w:t>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Gloves</w:t>
            </w:r>
          </w:p>
        </w:tc>
        <w:tc>
          <w:tcPr>
            <w:tcW w:type="dxa" w:w="30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When handling materials with sharp edges, chemicals, or extreme temperatures</w:t>
            </w:r>
          </w:p>
        </w:tc>
        <w:tc>
          <w:tcPr>
            <w:tcW w:type="dxa" w:w="42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 s.25</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Fall protection harness (CSA Z259)</w:t>
            </w:r>
          </w:p>
        </w:tc>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Any work at 3 metres or more, or above a hazardous surface</w:t>
            </w:r>
          </w:p>
        </w:tc>
        <w:tc>
          <w:tcPr>
            <w:tcW w:type="dxa" w:w="42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 s.26</w:t>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Respiratory protection</w:t>
            </w:r>
          </w:p>
        </w:tc>
        <w:tc>
          <w:tcPr>
            <w:tcW w:type="dxa" w:w="30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When working with dust, fumes, or chemical hazards</w:t>
            </w:r>
          </w:p>
        </w:tc>
        <w:tc>
          <w:tcPr>
            <w:tcW w:type="dxa" w:w="42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Face shield</w:t>
            </w:r>
          </w:p>
        </w:tc>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When grinding, cutting, or working with chemicals that may splash</w:t>
            </w:r>
          </w:p>
        </w:tc>
        <w:tc>
          <w:tcPr>
            <w:tcW w:type="dxa" w:w="42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iCs/>
                <w:color w:val="1D4ED8"/>
                <w:sz w:val="15"/>
                <w:szCs w:val="15"/>
              </w:rPr>
              <w:t xml:space="preserve">O. Reg. 213/91, s.24</w:t>
            </w:r>
          </w:p>
        </w:tc>
      </w:tr>
    </w:tbl>
    <w:p>
      <w:pPr>
        <w:spacing w:before="0" w:after="0"/>
      </w:pPr>
      <w:r>
        <w:t xml:space="preserve"/>
      </w:r>
    </w:p>
    <w:p>
      <w:pPr>
        <w:pBdr>
          <w:left w:val="single" w:color="1A2332" w:sz="12" w:space="8"/>
        </w:pBdr>
        <w:spacing w:before="80" w:after="80"/>
        <w:ind w:left="360"/>
      </w:pPr>
      <w:r>
        <w:rPr>
          <w:rFonts w:ascii="Calibri" w:cs="Calibri" w:eastAsia="Calibri" w:hAnsi="Calibri"/>
          <w:i/>
          <w:iCs/>
          <w:color w:val="1A2332"/>
          <w:sz w:val="17"/>
          <w:szCs w:val="17"/>
        </w:rPr>
        <w:t xml:space="preserve">PPE is the last line of defence — it does not remove the hazard. Before putting on PPE, always try to eliminate the hazard or control it at the source. (OHSA, s.25(2)(h))</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Responsibilities</w:t>
      </w:r>
    </w:p>
    <w:p>
      <w:pPr>
        <w:pStyle w:val="Heading2"/>
        <w:spacing w:before="300" w:after="100"/>
      </w:pPr>
      <w:r>
        <w:rPr>
          <w:rFonts w:ascii="Calibri" w:cs="Calibri" w:eastAsia="Calibri" w:hAnsi="Calibri"/>
          <w:b/>
          <w:bCs/>
          <w:color w:val="1A2332"/>
          <w:sz w:val="26"/>
          <w:szCs w:val="26"/>
        </w:rPr>
        <w:t xml:space="preserve">Company</w:t>
      </w:r>
    </w:p>
    <w:p>
      <w:pPr>
        <w:pStyle w:val="ListParagraph"/>
        <w:numPr>
          <w:ilvl w:val="0"/>
          <w:numId w:val="2"/>
        </w:numPr>
        <w:spacing w:before="40" w:after="40"/>
      </w:pPr>
      <w:r>
        <w:rPr>
          <w:rFonts w:ascii="Calibri" w:cs="Calibri" w:eastAsia="Calibri" w:hAnsi="Calibri"/>
          <w:color w:val="0D0D0D"/>
          <w:sz w:val="19"/>
          <w:szCs w:val="19"/>
        </w:rPr>
        <w:t xml:space="preserve">Provide required PPE to workers at no cost.</w:t>
      </w:r>
    </w:p>
    <w:p>
      <w:pPr>
        <w:pStyle w:val="ListParagraph"/>
        <w:numPr>
          <w:ilvl w:val="0"/>
          <w:numId w:val="2"/>
        </w:numPr>
        <w:spacing w:before="40" w:after="40"/>
      </w:pPr>
      <w:r>
        <w:rPr>
          <w:rFonts w:ascii="Calibri" w:cs="Calibri" w:eastAsia="Calibri" w:hAnsi="Calibri"/>
          <w:color w:val="0D0D0D"/>
          <w:sz w:val="19"/>
          <w:szCs w:val="19"/>
        </w:rPr>
        <w:t xml:space="preserve">Ensure PPE meets the required CSA standard for the hazard.</w:t>
      </w:r>
    </w:p>
    <w:p>
      <w:pPr>
        <w:pStyle w:val="ListParagraph"/>
        <w:numPr>
          <w:ilvl w:val="0"/>
          <w:numId w:val="2"/>
        </w:numPr>
        <w:spacing w:before="40" w:after="40"/>
      </w:pPr>
      <w:r>
        <w:rPr>
          <w:rFonts w:ascii="Calibri" w:cs="Calibri" w:eastAsia="Calibri" w:hAnsi="Calibri"/>
          <w:color w:val="0D0D0D"/>
          <w:sz w:val="19"/>
          <w:szCs w:val="19"/>
        </w:rPr>
        <w:t xml:space="preserve">Replace worn or damaged PPE without delay.</w:t>
      </w:r>
    </w:p>
    <w:p>
      <w:pPr>
        <w:pStyle w:val="ListParagraph"/>
        <w:numPr>
          <w:ilvl w:val="0"/>
          <w:numId w:val="2"/>
        </w:numPr>
        <w:spacing w:before="40" w:after="40"/>
      </w:pPr>
      <w:r>
        <w:rPr>
          <w:rFonts w:ascii="Calibri" w:cs="Calibri" w:eastAsia="Calibri" w:hAnsi="Calibri"/>
          <w:color w:val="0D0D0D"/>
          <w:sz w:val="19"/>
          <w:szCs w:val="19"/>
        </w:rPr>
        <w:t xml:space="preserve">Train workers on how to inspect, wear, and maintain their PPE.</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Supervisors</w:t>
      </w:r>
    </w:p>
    <w:p>
      <w:pPr>
        <w:pStyle w:val="ListParagraph"/>
        <w:numPr>
          <w:ilvl w:val="0"/>
          <w:numId w:val="2"/>
        </w:numPr>
        <w:spacing w:before="40" w:after="40"/>
      </w:pPr>
      <w:r>
        <w:rPr>
          <w:rFonts w:ascii="Calibri" w:cs="Calibri" w:eastAsia="Calibri" w:hAnsi="Calibri"/>
          <w:color w:val="0D0D0D"/>
          <w:sz w:val="19"/>
          <w:szCs w:val="19"/>
        </w:rPr>
        <w:t xml:space="preserve">Check that every worker under your supervision has the right PPE before work starts.</w:t>
      </w:r>
    </w:p>
    <w:p>
      <w:pPr>
        <w:pStyle w:val="ListParagraph"/>
        <w:numPr>
          <w:ilvl w:val="0"/>
          <w:numId w:val="2"/>
        </w:numPr>
        <w:spacing w:before="40" w:after="40"/>
      </w:pPr>
      <w:r>
        <w:rPr>
          <w:rFonts w:ascii="Calibri" w:cs="Calibri" w:eastAsia="Calibri" w:hAnsi="Calibri"/>
          <w:color w:val="0D0D0D"/>
          <w:sz w:val="19"/>
          <w:szCs w:val="19"/>
        </w:rPr>
        <w:t xml:space="preserve">Send workers home or reassign them if PPE requirements are not met.</w:t>
      </w:r>
    </w:p>
    <w:p>
      <w:pPr>
        <w:pStyle w:val="ListParagraph"/>
        <w:numPr>
          <w:ilvl w:val="0"/>
          <w:numId w:val="2"/>
        </w:numPr>
        <w:spacing w:before="40" w:after="40"/>
      </w:pPr>
      <w:r>
        <w:rPr>
          <w:rFonts w:ascii="Calibri" w:cs="Calibri" w:eastAsia="Calibri" w:hAnsi="Calibri"/>
          <w:color w:val="0D0D0D"/>
          <w:sz w:val="19"/>
          <w:szCs w:val="19"/>
        </w:rPr>
        <w:t xml:space="preserve">Document PPE violations and follow the discipline policy.</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Workers</w:t>
      </w:r>
    </w:p>
    <w:p>
      <w:pPr>
        <w:pStyle w:val="ListParagraph"/>
        <w:numPr>
          <w:ilvl w:val="0"/>
          <w:numId w:val="2"/>
        </w:numPr>
        <w:spacing w:before="40" w:after="40"/>
      </w:pPr>
      <w:r>
        <w:rPr>
          <w:rFonts w:ascii="Calibri" w:cs="Calibri" w:eastAsia="Calibri" w:hAnsi="Calibri"/>
          <w:color w:val="0D0D0D"/>
          <w:sz w:val="19"/>
          <w:szCs w:val="19"/>
        </w:rPr>
        <w:t xml:space="preserve">Wear the required PPE for your task at all times — not just when a supervisor is watching.</w:t>
      </w:r>
    </w:p>
    <w:p>
      <w:pPr>
        <w:pStyle w:val="ListParagraph"/>
        <w:numPr>
          <w:ilvl w:val="0"/>
          <w:numId w:val="2"/>
        </w:numPr>
        <w:spacing w:before="40" w:after="40"/>
      </w:pPr>
      <w:r>
        <w:rPr>
          <w:rFonts w:ascii="Calibri" w:cs="Calibri" w:eastAsia="Calibri" w:hAnsi="Calibri"/>
          <w:color w:val="0D0D0D"/>
          <w:sz w:val="19"/>
          <w:szCs w:val="19"/>
        </w:rPr>
        <w:t xml:space="preserve">Inspect your PPE before each shift. Report damage or defects to your supervisor immediately.</w:t>
      </w:r>
    </w:p>
    <w:p>
      <w:pPr>
        <w:pStyle w:val="ListParagraph"/>
        <w:numPr>
          <w:ilvl w:val="0"/>
          <w:numId w:val="2"/>
        </w:numPr>
        <w:spacing w:before="40" w:after="40"/>
      </w:pPr>
      <w:r>
        <w:rPr>
          <w:rFonts w:ascii="Calibri" w:cs="Calibri" w:eastAsia="Calibri" w:hAnsi="Calibri"/>
          <w:color w:val="0D0D0D"/>
          <w:sz w:val="19"/>
          <w:szCs w:val="19"/>
        </w:rPr>
        <w:t xml:space="preserve">Do not modify, remove labels from, or misuse PPE.</w:t>
      </w:r>
    </w:p>
    <w:p>
      <w:pPr>
        <w:pStyle w:val="ListParagraph"/>
        <w:numPr>
          <w:ilvl w:val="0"/>
          <w:numId w:val="2"/>
        </w:numPr>
        <w:spacing w:before="40" w:after="40"/>
      </w:pPr>
      <w:r>
        <w:rPr>
          <w:rFonts w:ascii="Calibri" w:cs="Calibri" w:eastAsia="Calibri" w:hAnsi="Calibri"/>
          <w:color w:val="0D0D0D"/>
          <w:sz w:val="19"/>
          <w:szCs w:val="19"/>
        </w:rPr>
        <w:t xml:space="preserve">Store PPE properly at the end of each shift.</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Inspection and Maintenance</w:t>
      </w:r>
    </w:p>
    <w:p>
      <w:pPr>
        <w:spacing w:before="60" w:after="80"/>
      </w:pPr>
      <w:r>
        <w:rPr>
          <w:rFonts w:ascii="Calibri" w:cs="Calibri" w:eastAsia="Calibri" w:hAnsi="Calibri"/>
          <w:b w:val="false"/>
          <w:bCs w:val="false"/>
          <w:i w:val="false"/>
          <w:iCs w:val="false"/>
          <w:color w:val="0D0D0D"/>
          <w:sz w:val="19"/>
          <w:szCs w:val="19"/>
        </w:rPr>
        <w:t xml:space="preserve">Workers must inspect their PPE before each use. Supervisors must conduct a visual check at the start of each shift.</w:t>
      </w:r>
    </w:p>
    <w:p>
      <w:pPr>
        <w:pStyle w:val="ListParagraph"/>
        <w:numPr>
          <w:ilvl w:val="0"/>
          <w:numId w:val="2"/>
        </w:numPr>
        <w:spacing w:before="40" w:after="40"/>
      </w:pPr>
      <w:r>
        <w:rPr>
          <w:rFonts w:ascii="Calibri" w:cs="Calibri" w:eastAsia="Calibri" w:hAnsi="Calibri"/>
          <w:color w:val="0D0D0D"/>
          <w:sz w:val="19"/>
          <w:szCs w:val="19"/>
        </w:rPr>
        <w:t xml:space="preserve">Hard hats: check for cracks, dents, and damage to the suspension. Replace after any significant impact even if damage is not visible.</w:t>
      </w:r>
    </w:p>
    <w:p>
      <w:pPr>
        <w:pStyle w:val="ListParagraph"/>
        <w:numPr>
          <w:ilvl w:val="0"/>
          <w:numId w:val="2"/>
        </w:numPr>
        <w:spacing w:before="40" w:after="40"/>
      </w:pPr>
      <w:r>
        <w:rPr>
          <w:rFonts w:ascii="Calibri" w:cs="Calibri" w:eastAsia="Calibri" w:hAnsi="Calibri"/>
          <w:color w:val="0D0D0D"/>
          <w:sz w:val="19"/>
          <w:szCs w:val="19"/>
        </w:rPr>
        <w:t xml:space="preserve">Safety boots: check for worn soles, damaged toe caps, and cuts to the upper.</w:t>
      </w:r>
    </w:p>
    <w:p>
      <w:pPr>
        <w:pStyle w:val="ListParagraph"/>
        <w:numPr>
          <w:ilvl w:val="0"/>
          <w:numId w:val="2"/>
        </w:numPr>
        <w:spacing w:before="40" w:after="40"/>
      </w:pPr>
      <w:r>
        <w:rPr>
          <w:rFonts w:ascii="Calibri" w:cs="Calibri" w:eastAsia="Calibri" w:hAnsi="Calibri"/>
          <w:color w:val="0D0D0D"/>
          <w:sz w:val="19"/>
          <w:szCs w:val="19"/>
        </w:rPr>
        <w:t xml:space="preserve">Safety glasses and face shields: check for scratches, cracks, and damage to the frame.</w:t>
      </w:r>
    </w:p>
    <w:p>
      <w:pPr>
        <w:pStyle w:val="ListParagraph"/>
        <w:numPr>
          <w:ilvl w:val="0"/>
          <w:numId w:val="2"/>
        </w:numPr>
        <w:spacing w:before="40" w:after="40"/>
      </w:pPr>
      <w:r>
        <w:rPr>
          <w:rFonts w:ascii="Calibri" w:cs="Calibri" w:eastAsia="Calibri" w:hAnsi="Calibri"/>
          <w:color w:val="0D0D0D"/>
          <w:sz w:val="19"/>
          <w:szCs w:val="19"/>
        </w:rPr>
        <w:t xml:space="preserve">Harnesses and lanyards: see the Fall Arrest Plan and Daily Inspection Log for detailed inspection requirements.</w:t>
      </w:r>
    </w:p>
    <w:p>
      <w:pPr>
        <w:pStyle w:val="ListParagraph"/>
        <w:numPr>
          <w:ilvl w:val="0"/>
          <w:numId w:val="2"/>
        </w:numPr>
        <w:spacing w:before="40" w:after="40"/>
      </w:pPr>
      <w:r>
        <w:rPr>
          <w:rFonts w:ascii="Calibri" w:cs="Calibri" w:eastAsia="Calibri" w:hAnsi="Calibri"/>
          <w:color w:val="0D0D0D"/>
          <w:sz w:val="19"/>
          <w:szCs w:val="19"/>
        </w:rPr>
        <w:t xml:space="preserve">Any PPE that fails inspection must be removed from service, tagged, and reported to the supervisor. Do not use it until it is replaced.</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Consequences</w:t>
      </w:r>
    </w:p>
    <w:p>
      <w:pPr>
        <w:spacing w:before="60" w:after="80"/>
      </w:pPr>
      <w:r>
        <w:rPr>
          <w:rFonts w:ascii="Calibri" w:cs="Calibri" w:eastAsia="Calibri" w:hAnsi="Calibri"/>
          <w:b w:val="false"/>
          <w:bCs w:val="false"/>
          <w:i w:val="false"/>
          <w:iCs w:val="false"/>
          <w:color w:val="0D0D0D"/>
          <w:sz w:val="19"/>
          <w:szCs w:val="19"/>
        </w:rPr>
        <w:t xml:space="preserve">Failure to wear required PPE is a safety violation. Consequences follow [Company Name]'s progressive discipline policy and may include:</w:t>
      </w:r>
    </w:p>
    <w:p>
      <w:pPr>
        <w:pStyle w:val="ListParagraph"/>
        <w:numPr>
          <w:ilvl w:val="0"/>
          <w:numId w:val="2"/>
        </w:numPr>
        <w:spacing w:before="40" w:after="40"/>
      </w:pPr>
      <w:r>
        <w:rPr>
          <w:rFonts w:ascii="Calibri" w:cs="Calibri" w:eastAsia="Calibri" w:hAnsi="Calibri"/>
          <w:color w:val="0D0D0D"/>
          <w:sz w:val="19"/>
          <w:szCs w:val="19"/>
        </w:rPr>
        <w:t xml:space="preserve">First occurrence: verbal warning and mandatory PPE re-training.</w:t>
      </w:r>
    </w:p>
    <w:p>
      <w:pPr>
        <w:pStyle w:val="ListParagraph"/>
        <w:numPr>
          <w:ilvl w:val="0"/>
          <w:numId w:val="2"/>
        </w:numPr>
        <w:spacing w:before="40" w:after="40"/>
      </w:pPr>
      <w:r>
        <w:rPr>
          <w:rFonts w:ascii="Calibri" w:cs="Calibri" w:eastAsia="Calibri" w:hAnsi="Calibri"/>
          <w:color w:val="0D0D0D"/>
          <w:sz w:val="19"/>
          <w:szCs w:val="19"/>
        </w:rPr>
        <w:t xml:space="preserve">Second occurrence: written warning.</w:t>
      </w:r>
    </w:p>
    <w:p>
      <w:pPr>
        <w:pStyle w:val="ListParagraph"/>
        <w:numPr>
          <w:ilvl w:val="0"/>
          <w:numId w:val="2"/>
        </w:numPr>
        <w:spacing w:before="40" w:after="40"/>
      </w:pPr>
      <w:r>
        <w:rPr>
          <w:rFonts w:ascii="Calibri" w:cs="Calibri" w:eastAsia="Calibri" w:hAnsi="Calibri"/>
          <w:color w:val="0D0D0D"/>
          <w:sz w:val="19"/>
          <w:szCs w:val="19"/>
        </w:rPr>
        <w:t xml:space="preserve">Third occurrence or serious violation: suspension or removal from site.</w:t>
      </w:r>
    </w:p>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A worker who refuses to wear required PPE may be removed from the site immediately. This is not discipline — it is a duty of the supervisor to keep the site safe. (OHSA, s.27)</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Right to Refuse Unsafe Work</w:t>
      </w:r>
    </w:p>
    <w:p>
      <w:pPr>
        <w:spacing w:before="60" w:after="80"/>
      </w:pPr>
      <w:r>
        <w:rPr>
          <w:rFonts w:ascii="Calibri" w:cs="Calibri" w:eastAsia="Calibri" w:hAnsi="Calibri"/>
          <w:b w:val="false"/>
          <w:bCs w:val="false"/>
          <w:i w:val="false"/>
          <w:iCs w:val="false"/>
          <w:color w:val="0D0D0D"/>
          <w:sz w:val="19"/>
          <w:szCs w:val="19"/>
        </w:rPr>
        <w:t xml:space="preserve">Any worker who believes their PPE is inadequate for the task they have been assigned has the right to refuse the work and report the concern to their supervisor. No worker may be punished for refusing unsafe work in good faith.</w:t>
      </w:r>
      <w:r>
        <w:rPr>
          <w:rFonts w:ascii="Calibri" w:cs="Calibri" w:eastAsia="Calibri" w:hAnsi="Calibri"/>
          <w:i/>
          <w:iCs/>
          <w:color w:val="1D4ED8"/>
          <w:sz w:val="16"/>
          <w:szCs w:val="16"/>
        </w:rPr>
        <w:t xml:space="preserve"> (OHSA, s.43, s.50)</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Where to Read the Law</w:t>
      </w:r>
    </w:p>
    <w:p>
      <w:pPr>
        <w:spacing w:before="60" w:after="120"/>
      </w:pPr>
      <w:r>
        <w:rPr>
          <w:rFonts w:ascii="Calibri" w:cs="Calibri" w:eastAsia="Calibri" w:hAnsi="Calibri"/>
          <w:b w:val="false"/>
          <w:bCs w:val="false"/>
          <w:i w:val="false"/>
          <w:iCs w:val="false"/>
          <w:color w:val="0D0D0D"/>
          <w:sz w:val="19"/>
          <w:szCs w:val="19"/>
        </w:rPr>
        <w:t xml:space="preserve">The references in this policy point to specific sections of Ontario law.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26"/>
        <w:gridCol w:w="4234"/>
        <w:gridCol w:w="2520"/>
      </w:tblGrid>
      <w:tr>
        <w:tc>
          <w:tcPr>
            <w:tcW w:type="dxa" w:w="3326"/>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or Standard</w:t>
            </w:r>
          </w:p>
        </w:tc>
        <w:tc>
          <w:tcPr>
            <w:tcW w:type="dxa" w:w="4234"/>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What It Covers</w:t>
            </w:r>
          </w:p>
        </w:tc>
        <w:tc>
          <w:tcPr>
            <w:tcW w:type="dxa" w:w="252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Where to Find It</w:t>
            </w:r>
          </w:p>
        </w:tc>
      </w:tr>
      <w:tr>
        <w:tc>
          <w:tcPr>
            <w:tcW w:type="dxa" w:w="33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OHSA — Occupational Health and Safety Act</w:t>
            </w:r>
          </w:p>
        </w:tc>
        <w:tc>
          <w:tcPr>
            <w:tcW w:type="dxa" w:w="423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Ontario's main workplace safety law. Sections 25, 27, and 28 set PPE duties.</w:t>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ourier New" w:cs="Courier New" w:eastAsia="Courier New" w:hAnsi="Courier New"/>
                <w:color w:val="1D4ED8"/>
                <w:sz w:val="15"/>
                <w:szCs w:val="15"/>
              </w:rPr>
              <w:t xml:space="preserve">ontario.ca/laws/statute/90o01</w:t>
            </w:r>
          </w:p>
        </w:tc>
      </w:tr>
      <w:tr>
        <w:tc>
          <w:tcPr>
            <w:tcW w:type="dxa" w:w="3326"/>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 Reg. 213/91 — Construction Projects</w:t>
            </w:r>
          </w:p>
        </w:tc>
        <w:tc>
          <w:tcPr>
            <w:tcW w:type="dxa" w:w="4234"/>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Sections 21–25 set PPE requirements for construction sites.</w:t>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ourier New" w:cs="Courier New" w:eastAsia="Courier New" w:hAnsi="Courier New"/>
                <w:color w:val="1D4ED8"/>
                <w:sz w:val="15"/>
                <w:szCs w:val="15"/>
              </w:rPr>
              <w:t xml:space="preserve">ontario.ca/laws/regulation/910213</w:t>
            </w:r>
          </w:p>
        </w:tc>
      </w:tr>
      <w:tr>
        <w:tc>
          <w:tcPr>
            <w:tcW w:type="dxa" w:w="33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CSA Z94.1</w:t>
            </w:r>
          </w:p>
        </w:tc>
        <w:tc>
          <w:tcPr>
            <w:tcW w:type="dxa" w:w="423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Hard hat standard.</w:t>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ourier New" w:cs="Courier New" w:eastAsia="Courier New" w:hAnsi="Courier New"/>
                <w:color w:val="1D4ED8"/>
                <w:sz w:val="15"/>
                <w:szCs w:val="15"/>
              </w:rPr>
              <w:t xml:space="preserve">csagroup.org</w:t>
            </w:r>
          </w:p>
        </w:tc>
      </w:tr>
      <w:tr>
        <w:tc>
          <w:tcPr>
            <w:tcW w:type="dxa" w:w="3326"/>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CSA Z195</w:t>
            </w:r>
          </w:p>
        </w:tc>
        <w:tc>
          <w:tcPr>
            <w:tcW w:type="dxa" w:w="4234"/>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Safety footwear standard.</w:t>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ourier New" w:cs="Courier New" w:eastAsia="Courier New" w:hAnsi="Courier New"/>
                <w:color w:val="1D4ED8"/>
                <w:sz w:val="15"/>
                <w:szCs w:val="15"/>
              </w:rPr>
              <w:t xml:space="preserve">csagroup.org</w:t>
            </w:r>
          </w:p>
        </w:tc>
      </w:tr>
      <w:tr>
        <w:tc>
          <w:tcPr>
            <w:tcW w:type="dxa" w:w="33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CSA Z259 series</w:t>
            </w:r>
          </w:p>
        </w:tc>
        <w:tc>
          <w:tcPr>
            <w:tcW w:type="dxa" w:w="423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Fall protection equipment standards. Required for all harnesses and lanyards.</w:t>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ourier New" w:cs="Courier New" w:eastAsia="Courier New" w:hAnsi="Courier New"/>
                <w:color w:val="1D4ED8"/>
                <w:sz w:val="15"/>
                <w:szCs w:val="15"/>
              </w:rPr>
              <w:t xml:space="preserve">csagroup.org</w:t>
            </w:r>
          </w:p>
        </w:tc>
      </w:tr>
      <w:tr>
        <w:tc>
          <w:tcPr>
            <w:tcW w:type="dxa" w:w="3326"/>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IHSA Construction Safety Guide</w:t>
            </w:r>
          </w:p>
        </w:tc>
        <w:tc>
          <w:tcPr>
            <w:tcW w:type="dxa" w:w="4234"/>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Plain-language guide to Ontario construction safety requirements.</w:t>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ourier New" w:cs="Courier New" w:eastAsia="Courier New" w:hAnsi="Courier New"/>
                <w:color w:val="1D4ED8"/>
                <w:sz w:val="15"/>
                <w:szCs w:val="15"/>
              </w:rPr>
              <w:t xml:space="preserve">ohsguide.ihsa.ca</w:t>
            </w:r>
          </w:p>
        </w:tc>
      </w:tr>
    </w:tbl>
    <w:p>
      <w:pPr>
        <w:spacing w:before="0" w:after="0"/>
      </w:pPr>
      <w:r>
        <w:t xml:space="preserve"/>
      </w:r>
    </w:p>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Sign-Off</w:t>
      </w:r>
    </w:p>
    <w:p>
      <w:pPr>
        <w:spacing w:before="60" w:after="120"/>
      </w:pPr>
      <w:r>
        <w:rPr>
          <w:rFonts w:ascii="Calibri" w:cs="Calibri" w:eastAsia="Calibri" w:hAnsi="Calibri"/>
          <w:b w:val="false"/>
          <w:bCs w:val="false"/>
          <w:i w:val="false"/>
          <w:iCs w:val="false"/>
          <w:color w:val="0D0D0D"/>
          <w:sz w:val="19"/>
          <w:szCs w:val="19"/>
        </w:rPr>
        <w:t xml:space="preserve">Every worker and subcontractor must sign this page before starting work on any [Company Name] site.</w:t>
      </w:r>
    </w:p>
    <w:p>
      <w:pPr>
        <w:pBdr>
          <w:left w:val="single" w:color="92400E" w:sz="12" w:space="8"/>
        </w:pBdr>
        <w:spacing w:before="80" w:after="80"/>
        <w:ind w:left="360"/>
      </w:pPr>
      <w:r>
        <w:rPr>
          <w:rFonts w:ascii="Calibri" w:cs="Calibri" w:eastAsia="Calibri" w:hAnsi="Calibri"/>
          <w:i/>
          <w:iCs/>
          <w:color w:val="92400E"/>
          <w:sz w:val="17"/>
          <w:szCs w:val="17"/>
        </w:rPr>
        <w:t xml:space="preserve">A policy without signatures provides very little protection in a WSIB claim, employment dispute, or MLITSD inspection. The signature page is your evidence that workers were informed.</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1680"/>
        <w:gridCol w:w="2800"/>
        <w:gridCol w:w="2800"/>
      </w:tblGrid>
      <w:tr>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Worker 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Date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Signature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Company or Role</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6720"/>
      </w:tblGrid>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Policy version</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Effective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Reviewed by</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________________________  — Owner / Supervisor</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Next review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bl>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Glossary</w:t>
      </w:r>
    </w:p>
    <w:p>
      <w:pPr>
        <w:spacing w:before="60" w:after="120"/>
      </w:pPr>
      <w:r>
        <w:rPr>
          <w:rFonts w:ascii="Calibri" w:cs="Calibri" w:eastAsia="Calibri" w:hAnsi="Calibri"/>
          <w:b w:val="false"/>
          <w:bCs w:val="false"/>
          <w:i/>
          <w:iCs/>
          <w:color w:val="0D0D0D"/>
          <w:sz w:val="19"/>
          <w:szCs w:val="19"/>
        </w:rPr>
        <w:t xml:space="preserve">Terms used in this policy.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Term</w:t>
            </w:r>
          </w:p>
        </w:tc>
        <w:tc>
          <w:tcPr>
            <w:tcW w:type="dxa" w:w="7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Plain Language Definition</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CSA standard</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technical standard published by the Canadian Standards Association. Ontario law requires that certain PPE meets specific CSA standards to be used legally on site.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MLITSD</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Ministry of Labour, Immigration, Training and Skills Development. Enforces the OHSA. Inspectors can visit sites without notice.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OHSA</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Occupational Health and Safety Act. Ontario's main workplace safety law.</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PPE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Personal protective equipment. Safety gear worn by workers to protect against hazards — hard hats, boots, gloves, eye protection, harnesses, and more.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Right to refuse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Under the OHSA, every worker has the right to refuse work they believe is unsafe. They cannot be punished for doing so in good faith. (OHSA, s.43)</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WSIB</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Workplace Safety and Insurance Board. Handles workers' compensation in Ontario.</w:t>
            </w:r>
          </w:p>
        </w:tc>
      </w:tr>
    </w:tbl>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4"/>
      </w:pBdr>
      <w:spacing w:before="0"/>
      <w:jc w:val="right"/>
    </w:pPr>
    <w:r>
      <w:rPr>
        <w:rFonts w:ascii="Calibri" w:cs="Calibri" w:eastAsia="Calibri" w:hAnsi="Calibri"/>
        <w:color w:val="6B7280"/>
        <w:sz w:val="14"/>
        <w:szCs w:val="14"/>
      </w:rPr>
      <w:t xml:space="preserve">Free template — Charron Digital Group Inc.  ·  Not legal advice. Customize before use.  ·  Page </w:t>
    </w:r>
    <w:r>
      <w:rPr>
        <w:rFonts w:ascii="Calibri" w:cs="Calibri" w:eastAsia="Calibri" w:hAnsi="Calibri"/>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1D5DB" w:sz="4" w:space="4"/>
      </w:pBdr>
      <w:spacing w:after="0"/>
    </w:pPr>
    <w:r>
      <w:rPr>
        <w:rFonts w:ascii="Calibri" w:cs="Calibri" w:eastAsia="Calibri" w:hAnsi="Calibri"/>
        <w:color w:val="6B7280"/>
        <w:sz w:val="14"/>
        <w:szCs w:val="14"/>
      </w:rPr>
      <w:t xml:space="preserve">PLUMBLINE  ·  PPE Policy — Ontario Construction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Calibri" w:cs="Calibri" w:eastAsia="Calibri" w:hAnsi="Calibri"/>
      <w:b/>
      <w:bCs/>
      <w:color w:val="E8600A"/>
      <w:sz w:val="36"/>
      <w:szCs w:val="36"/>
    </w:rPr>
  </w:style>
  <w:style w:type="paragraph" w:styleId="Heading2">
    <w:name w:val="Heading 2"/>
    <w:basedOn w:val="Normal"/>
    <w:next w:val="Normal"/>
    <w:qFormat/>
    <w:pPr>
      <w:spacing w:before="300" w:after="100"/>
      <w:outlineLvl w:val="1"/>
    </w:pPr>
    <w:rPr>
      <w:rFonts w:ascii="Calibri" w:cs="Calibri" w:eastAsia="Calibri" w:hAnsi="Calibri"/>
      <w:b/>
      <w:bCs/>
      <w:color w:val="1A2332"/>
      <w:sz w:val="26"/>
      <w:szCs w:val="26"/>
    </w:rPr>
  </w:style>
  <w:style w:type="paragraph" w:styleId="Heading3">
    <w:name w:val="Heading 3"/>
    <w:basedOn w:val="Normal"/>
    <w:next w:val="Normal"/>
    <w:qFormat/>
    <w:pPr>
      <w:spacing w:before="220" w:after="80"/>
      <w:outlineLvl w:val="2"/>
    </w:pPr>
    <w:rPr>
      <w:rFonts w:ascii="Calibri" w:cs="Calibri" w:eastAsia="Calibri" w:hAnsi="Calibri"/>
      <w:b/>
      <w:bCs/>
      <w:color w:val="0D0D0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2026-03-27T22:20:46.038Z</dcterms:created>
  <dcterms:modified xsi:type="dcterms:W3CDTF">2026-03-27T22:20:46.038Z</dcterms:modified>
</cp:coreProperties>
</file>

<file path=docProps/custom.xml><?xml version="1.0" encoding="utf-8"?>
<Properties xmlns="http://schemas.openxmlformats.org/officeDocument/2006/custom-properties" xmlns:vt="http://schemas.openxmlformats.org/officeDocument/2006/docPropsVTypes"/>
</file>